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psychological injury chronology</w:t>
      </w:r>
    </w:p>
    <w:p>
      <w:pPr>
        <w:pStyle w:val="Subtitle"/>
      </w:pPr>
      <w:r>
        <w:t>Fictional example  |  Record design and interview testing</w:t>
      </w:r>
    </w:p>
    <w:p>
      <w:pPr>
        <w:pStyle w:val="Subtitle"/>
      </w:pPr>
      <w:r>
        <w:t>Version 0.1  |  6 November 2026</w:t>
      </w:r>
    </w:p>
    <w:p>
      <w:r>
        <w:rPr>
          <w:b w:val="0"/>
        </w:rPr>
        <w:t>Every person, event, date, document and reference in this example is invented. It demonstrates how a worker’s account and supporting material could be organised for review. All listed attachments are illustrative placeholders.</w:t>
      </w:r>
    </w:p>
    <w:p>
      <w:r>
        <w:rPr>
          <w:b w:val="0"/>
        </w:rPr>
        <w:t>Worker W01 is an office employee in NSW. Employer E01, manager M01, colleague W02, HR contact H01 and insurer contact I01 are fictional role labels. The applicable scheme, claim status and legal characterisation remain matters for professional confirmation.</w:t>
      </w:r>
    </w:p>
    <w:p>
      <w:r>
        <w:rPr>
          <w:b w:val="0"/>
        </w:rPr>
        <w:t>Prepared on 6 November 2026. Version 0.1. Event period 7 September to 12 October 2026. Times use Australia/Sydney. Event times are worker supplied unless a document is identified. Entry times represent fictional saved entries. Approximate times and later recollections are labelled.</w:t>
      </w:r>
    </w:p>
    <w:p>
      <w:pPr>
        <w:pStyle w:val="Heading2"/>
      </w:pPr>
      <w:r>
        <w:t>C01  Team meeting</w:t>
      </w:r>
    </w:p>
    <w:p>
      <w:r>
        <w:rPr>
          <w:b w:val="0"/>
        </w:rPr>
        <w:t>Event time  7 Sep 2026 about 10 am  |  Entry created  10 Sep 2026 at 7.15 pm</w:t>
      </w:r>
    </w:p>
    <w:p>
      <w:r>
        <w:rPr>
          <w:b w:val="0"/>
        </w:rPr>
        <w:t>W01 recalls M01 criticising the completion time for a report during a team meeting. W01 recalls the meaning as asking why the task was taking so long. W01 felt embarrassed and left the meeting upset. Colleague W02 attended. The precise wording is uncertain.</w:t>
      </w:r>
    </w:p>
    <w:p>
      <w:r>
        <w:rPr>
          <w:b w:val="0"/>
        </w:rPr>
        <w:t>Basis and sources  Later firsthand recollection. A01. Witness attendance is reported by W01. A witness account remains to be obtained.</w:t>
      </w:r>
    </w:p>
    <w:p>
      <w:r>
        <w:rPr>
          <w:b w:val="0"/>
        </w:rPr>
        <w:t>Follow up  Confirm the meeting time and relevant context with available records and discuss any approach to witnesses with an adviser.</w:t>
      </w:r>
    </w:p>
    <w:p>
      <w:pPr>
        <w:pStyle w:val="Heading2"/>
      </w:pPr>
      <w:r>
        <w:t>C02  Written request for priorities</w:t>
      </w:r>
    </w:p>
    <w:p>
      <w:r>
        <w:rPr>
          <w:b w:val="0"/>
        </w:rPr>
        <w:t>Event time  8 Sep 2026 at 9.15 am  |  Entry created  8 Sep 2026 at 8.10 pm</w:t>
      </w:r>
    </w:p>
    <w:p>
      <w:r>
        <w:rPr>
          <w:b w:val="0"/>
        </w:rPr>
        <w:t>W01 emailed M01 asking which of two reports should be prioritised and requesting a written deadline. The saved email records what W01 asked. The response status was still to be checked when this entry was created.</w:t>
      </w:r>
    </w:p>
    <w:p>
      <w:r>
        <w:rPr>
          <w:b w:val="0"/>
        </w:rPr>
        <w:t>Basis and sources  Documented communication. A02 is the illustrative original sent email with headers. It establishes the communication and its contents.</w:t>
      </w:r>
    </w:p>
    <w:p>
      <w:r>
        <w:rPr>
          <w:b w:val="0"/>
        </w:rPr>
        <w:t>Follow up  Locate the full response thread and retain it alongside the sent email.</w:t>
      </w:r>
    </w:p>
    <w:p>
      <w:pPr>
        <w:pStyle w:val="Heading2"/>
      </w:pPr>
      <w:r>
        <w:t>C03  Concern raised with HR</w:t>
      </w:r>
    </w:p>
    <w:p>
      <w:r>
        <w:rPr>
          <w:b w:val="0"/>
        </w:rPr>
        <w:t>Event time  10 Sep 2026 at 3.40 pm  |  Entry created  10 Sep 2026 at 3.55 pm</w:t>
      </w:r>
    </w:p>
    <w:p>
      <w:r>
        <w:rPr>
          <w:b w:val="0"/>
        </w:rPr>
        <w:t>W01 emailed H01 describing concerns about recent team interactions and asking for the workplace grievance procedure. This is a record of the concern W01 raised.</w:t>
      </w:r>
    </w:p>
    <w:p>
      <w:r>
        <w:rPr>
          <w:b w:val="0"/>
        </w:rPr>
        <w:t>Basis and sources  Documented communication. A03 is the illustrative sent email. The account of the meeting remains W01’s account.</w:t>
      </w:r>
    </w:p>
    <w:p>
      <w:r>
        <w:rPr>
          <w:b w:val="0"/>
        </w:rPr>
        <w:t>Follow up  Retain the acknowledgment and procedure supplied by HR.</w:t>
      </w:r>
    </w:p>
    <w:p>
      <w:r>
        <w:br w:type="page"/>
      </w:r>
    </w:p>
    <w:p>
      <w:pPr>
        <w:pStyle w:val="Heading1"/>
      </w:pPr>
      <w:r>
        <w:t>Appointments grievance and insurer contact</w:t>
      </w:r>
    </w:p>
    <w:p>
      <w:r>
        <w:rPr>
          <w:b w:val="0"/>
        </w:rPr>
        <w:t>Fictional example continued. Original entry text and later amendments are separately identifiable.</w:t>
      </w:r>
    </w:p>
    <w:p>
      <w:pPr>
        <w:pStyle w:val="Heading2"/>
      </w:pPr>
      <w:r>
        <w:t>C04  GP appointment</w:t>
      </w:r>
    </w:p>
    <w:p>
      <w:r>
        <w:rPr>
          <w:b w:val="0"/>
        </w:rPr>
        <w:t>Event time  11 Sep 2026 at 9 am  |  Entry created  11 Sep 2026 at 12.30 pm</w:t>
      </w:r>
    </w:p>
    <w:p>
      <w:r>
        <w:rPr>
          <w:b w:val="0"/>
        </w:rPr>
        <w:t>W01 attended a GP appointment and reports discussing disrupted sleep and difficulty concentrating. W01 retained an appointment confirmation and a certificate. The clinical content is held separately for selective disclosure.</w:t>
      </w:r>
    </w:p>
    <w:p>
      <w:r>
        <w:rPr>
          <w:b w:val="0"/>
        </w:rPr>
        <w:t>Basis and sources  A04 confirms a scheduled appointment. Attendance and discussion are W01’s account. A05 is a restricted clinical document placeholder.</w:t>
      </w:r>
    </w:p>
    <w:p>
      <w:r>
        <w:rPr>
          <w:b w:val="0"/>
        </w:rPr>
        <w:t>Follow up  Ask the treating clinician which documents are relevant to the next appointment and obtain advice about any disclosure.</w:t>
      </w:r>
    </w:p>
    <w:p>
      <w:pPr>
        <w:pStyle w:val="Heading2"/>
      </w:pPr>
      <w:r>
        <w:t>C05  Written grievance submitted</w:t>
      </w:r>
    </w:p>
    <w:p>
      <w:r>
        <w:rPr>
          <w:b w:val="0"/>
        </w:rPr>
        <w:t>Event time  17 Sep 2026 at 2 pm  |  Entry created  17 Sep 2026 at 2.20 pm</w:t>
      </w:r>
    </w:p>
    <w:p>
      <w:r>
        <w:rPr>
          <w:b w:val="0"/>
        </w:rPr>
        <w:t>W01 sent a grievance to H01 with an event list and selected emails. W01 asked for acknowledgment, the process to be followed and a contact person. The grievance contains W01’s allegations and supporting references.</w:t>
      </w:r>
    </w:p>
    <w:p>
      <w:r>
        <w:rPr>
          <w:b w:val="0"/>
        </w:rPr>
        <w:t>Basis and sources  Documented submission. A06 contains the illustrative sent email, grievance and attachment list. Outcome status remains unconfirmed.</w:t>
      </w:r>
    </w:p>
    <w:p>
      <w:r>
        <w:rPr>
          <w:b w:val="0"/>
        </w:rPr>
        <w:t>Follow up  Keep the complete submitted version and record any acknowledgment or response as a new event.</w:t>
      </w:r>
    </w:p>
    <w:p>
      <w:pPr>
        <w:pStyle w:val="Heading2"/>
      </w:pPr>
      <w:r>
        <w:t>C06  Insurer telephone discussion</w:t>
      </w:r>
    </w:p>
    <w:p>
      <w:r>
        <w:rPr>
          <w:b w:val="0"/>
        </w:rPr>
        <w:t>Event time  21 Sep 2026 at 11.20 am  |  Entry created  21 Sep 2026 at 11.35 am</w:t>
      </w:r>
    </w:p>
    <w:p>
      <w:r>
        <w:rPr>
          <w:b w:val="0"/>
        </w:rPr>
        <w:t>W01’s note records I01 requesting additional documents. W01 understood that an update would be provided by 25 September. This was W01’s understanding of a verbal commitment. The note records no claim decision.</w:t>
      </w:r>
    </w:p>
    <w:p>
      <w:r>
        <w:rPr>
          <w:b w:val="0"/>
        </w:rPr>
        <w:t>Basis and sources  Self reported telephone note. A07. Written confirmation of the requested material and update date remains to be obtained.</w:t>
      </w:r>
    </w:p>
    <w:p>
      <w:r>
        <w:rPr>
          <w:b w:val="0"/>
        </w:rPr>
        <w:t>Follow up  Confirm the request and update date through an appropriate written channel. Record any later response separately.</w:t>
      </w:r>
    </w:p>
    <w:p>
      <w:pPr>
        <w:pStyle w:val="Heading2"/>
      </w:pPr>
      <w:r>
        <w:t>Record quality check</w:t>
      </w:r>
    </w:p>
    <w:p>
      <w:pPr>
        <w:pStyle w:val="ListBullet"/>
      </w:pPr>
      <w:r>
        <w:t>Separate the occurrence of a complaint from findings about the conduct alleged.</w:t>
      </w:r>
    </w:p>
    <w:p>
      <w:pPr>
        <w:pStyle w:val="ListBullet"/>
      </w:pPr>
      <w:r>
        <w:t>Preserve relevant responses and contrary material alongside the worker’s account.</w:t>
      </w:r>
    </w:p>
    <w:p>
      <w:pPr>
        <w:pStyle w:val="ListBullet"/>
      </w:pPr>
      <w:r>
        <w:t>Give clinical records a separate disclosure choice in the export preview.</w:t>
      </w:r>
    </w:p>
    <w:p>
      <w:r>
        <w:br w:type="page"/>
      </w:r>
    </w:p>
    <w:p>
      <w:pPr>
        <w:pStyle w:val="Heading1"/>
      </w:pPr>
      <w:r>
        <w:t>Assessment records and evidence register</w:t>
      </w:r>
    </w:p>
    <w:p>
      <w:r>
        <w:rPr>
          <w:b w:val="0"/>
        </w:rPr>
        <w:t>Fictional example continued. The following records illustrate appointment preparation and a disputed report.</w:t>
      </w:r>
    </w:p>
    <w:p>
      <w:pPr>
        <w:pStyle w:val="Heading2"/>
      </w:pPr>
      <w:r>
        <w:t>C07  Vocational assessment appointment</w:t>
      </w:r>
    </w:p>
    <w:p>
      <w:r>
        <w:rPr>
          <w:b w:val="0"/>
        </w:rPr>
        <w:t>Event time  7 Oct 2026 at 2 pm  |  Entry created  7 Oct 2026 at 5.30 pm</w:t>
      </w:r>
    </w:p>
    <w:p>
      <w:r>
        <w:rPr>
          <w:b w:val="0"/>
        </w:rPr>
        <w:t>W01 attended a vocational assessment and recalls asking for two breaks. W01 reports difficulty concentrating toward the end. A later correction records that the appointment started at 2 pm. The original entry said 2.30 pm.</w:t>
      </w:r>
    </w:p>
    <w:p>
      <w:r>
        <w:rPr>
          <w:b w:val="0"/>
        </w:rPr>
        <w:t>Basis and sources  A08 is the illustrative invitation. A09 is W01’s same day note. Amendment R01 was added on 8 Oct 2026 at 9 am after checking A08. Both versions are retained.</w:t>
      </w:r>
    </w:p>
    <w:p>
      <w:r>
        <w:rPr>
          <w:b w:val="0"/>
        </w:rPr>
        <w:t>Follow up  Ask about access to the report through the appropriate adviser or provider. Record actual experiences and questions for review.</w:t>
      </w:r>
    </w:p>
    <w:p>
      <w:pPr>
        <w:pStyle w:val="Heading2"/>
      </w:pPr>
      <w:r>
        <w:t>C08  Assessment report queried</w:t>
      </w:r>
    </w:p>
    <w:p>
      <w:r>
        <w:rPr>
          <w:b w:val="0"/>
        </w:rPr>
        <w:t>Event time  12 Oct 2026 at 9.10 am  |  Entry created  12 Oct 2026 at 10 am</w:t>
      </w:r>
    </w:p>
    <w:p>
      <w:r>
        <w:rPr>
          <w:b w:val="0"/>
        </w:rPr>
        <w:t>W01 received the report and identified an account of break requests that differed from A09. W01 emailed the solicitor a question about how to raise the discrepancy. Its resolution remains open.</w:t>
      </w:r>
    </w:p>
    <w:p>
      <w:r>
        <w:rPr>
          <w:b w:val="0"/>
        </w:rPr>
        <w:t>Basis and sources  A10 is the illustrative report. A09 provides W01’s differing account. The solicitor email is separately marked for confidentiality and privilege review before wider sharing.</w:t>
      </w:r>
    </w:p>
    <w:p>
      <w:r>
        <w:rPr>
          <w:b w:val="0"/>
        </w:rPr>
        <w:t>Follow up  Record the adviser’s response and any correction request separately. Preserve the received report and later versions.</w:t>
      </w:r>
    </w:p>
    <w:p>
      <w:pPr>
        <w:pStyle w:val="Heading2"/>
      </w:pPr>
      <w:r>
        <w:t>Illustrative evidence register</w:t>
      </w:r>
    </w:p>
    <w:tbl>
      <w:tblPr>
        <w:tblW w:type="auto" w:w="0"/>
        <w:jc w:val="center"/>
        <w:tblLayout w:type="fixed"/>
        <w:tblLook w:firstColumn="1" w:firstRow="1" w:lastColumn="0" w:lastRow="0" w:noHBand="0" w:noVBand="1" w:val="04A0"/>
      </w:tblPr>
      <w:tblGrid>
        <w:gridCol w:w="1134"/>
        <w:gridCol w:w="4819"/>
        <w:gridCol w:w="3912"/>
      </w:tblGrid>
      <w:tr>
        <w:trPr>
          <w:cantSplit/>
          <w:tblHeader/>
        </w:trPr>
        <w:tc>
          <w:tcPr>
            <w:tcW w:type="dxa" w:w="113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DCE6EF"/>
          </w:tcPr>
          <w:p>
            <w:pPr>
              <w:spacing w:after="60" w:line="252" w:lineRule="auto"/>
            </w:pPr>
            <w:r>
              <w:rPr>
                <w:b/>
                <w:sz w:val="18"/>
              </w:rPr>
              <w:t>ID</w:t>
            </w:r>
          </w:p>
        </w:tc>
        <w:tc>
          <w:tcPr>
            <w:tcW w:type="dxa" w:w="481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DCE6EF"/>
          </w:tcPr>
          <w:p>
            <w:pPr>
              <w:spacing w:after="60" w:line="252" w:lineRule="auto"/>
            </w:pPr>
            <w:r>
              <w:rPr>
                <w:b/>
                <w:sz w:val="18"/>
              </w:rPr>
              <w:t>Item and provenance</w:t>
            </w:r>
          </w:p>
        </w:tc>
        <w:tc>
          <w:tcPr>
            <w:tcW w:type="dxa" w:w="3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DCE6EF"/>
          </w:tcPr>
          <w:p>
            <w:pPr>
              <w:spacing w:after="60" w:line="252" w:lineRule="auto"/>
            </w:pPr>
            <w:r>
              <w:rPr>
                <w:b/>
                <w:sz w:val="18"/>
              </w:rPr>
              <w:t>Links and handling</w:t>
            </w:r>
          </w:p>
        </w:tc>
      </w:tr>
      <w:tr>
        <w:trPr>
          <w:cantSplit/>
        </w:trPr>
        <w:tc>
          <w:tcPr>
            <w:tcW w:type="dxa" w:w="113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60" w:line="252" w:lineRule="auto"/>
            </w:pPr>
            <w:r>
              <w:rPr>
                <w:b w:val="0"/>
                <w:sz w:val="18"/>
              </w:rPr>
              <w:t>A01</w:t>
            </w:r>
          </w:p>
        </w:tc>
        <w:tc>
          <w:tcPr>
            <w:tcW w:type="dxa" w:w="481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60" w:line="252" w:lineRule="auto"/>
            </w:pPr>
            <w:r>
              <w:rPr>
                <w:b w:val="0"/>
                <w:sz w:val="18"/>
              </w:rPr>
              <w:t>W01 note created 10 Sep about the 7 Sep meeting</w:t>
            </w:r>
          </w:p>
        </w:tc>
        <w:tc>
          <w:tcPr>
            <w:tcW w:type="dxa" w:w="3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60" w:line="252" w:lineRule="auto"/>
            </w:pPr>
            <w:r>
              <w:rPr>
                <w:b w:val="0"/>
                <w:sz w:val="18"/>
              </w:rPr>
              <w:t>C01  |  Later recollection</w:t>
            </w:r>
          </w:p>
        </w:tc>
      </w:tr>
      <w:tr>
        <w:trPr>
          <w:cantSplit/>
        </w:trPr>
        <w:tc>
          <w:tcPr>
            <w:tcW w:type="dxa" w:w="113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5F7F9"/>
          </w:tcPr>
          <w:p>
            <w:pPr>
              <w:spacing w:after="60" w:line="252" w:lineRule="auto"/>
            </w:pPr>
            <w:r>
              <w:rPr>
                <w:b w:val="0"/>
                <w:sz w:val="18"/>
              </w:rPr>
              <w:t>A02–A03</w:t>
            </w:r>
          </w:p>
        </w:tc>
        <w:tc>
          <w:tcPr>
            <w:tcW w:type="dxa" w:w="481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5F7F9"/>
          </w:tcPr>
          <w:p>
            <w:pPr>
              <w:spacing w:after="60" w:line="252" w:lineRule="auto"/>
            </w:pPr>
            <w:r>
              <w:rPr>
                <w:b w:val="0"/>
                <w:sz w:val="18"/>
              </w:rPr>
              <w:t>Sent emails of 8 and 10 Sep with headers</w:t>
            </w:r>
          </w:p>
        </w:tc>
        <w:tc>
          <w:tcPr>
            <w:tcW w:type="dxa" w:w="3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5F7F9"/>
          </w:tcPr>
          <w:p>
            <w:pPr>
              <w:spacing w:after="60" w:line="252" w:lineRule="auto"/>
            </w:pPr>
            <w:r>
              <w:rPr>
                <w:b w:val="0"/>
                <w:sz w:val="18"/>
              </w:rPr>
              <w:t>C02–C03  |  Original format and full threads</w:t>
            </w:r>
          </w:p>
        </w:tc>
      </w:tr>
      <w:tr>
        <w:trPr>
          <w:cantSplit/>
        </w:trPr>
        <w:tc>
          <w:tcPr>
            <w:tcW w:type="dxa" w:w="113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60" w:line="252" w:lineRule="auto"/>
            </w:pPr>
            <w:r>
              <w:rPr>
                <w:b w:val="0"/>
                <w:sz w:val="18"/>
              </w:rPr>
              <w:t>A04–A05</w:t>
            </w:r>
          </w:p>
        </w:tc>
        <w:tc>
          <w:tcPr>
            <w:tcW w:type="dxa" w:w="481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60" w:line="252" w:lineRule="auto"/>
            </w:pPr>
            <w:r>
              <w:rPr>
                <w:b w:val="0"/>
                <w:sz w:val="18"/>
              </w:rPr>
              <w:t>11 Sep appointment confirmation and certificate</w:t>
            </w:r>
          </w:p>
        </w:tc>
        <w:tc>
          <w:tcPr>
            <w:tcW w:type="dxa" w:w="3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60" w:line="252" w:lineRule="auto"/>
            </w:pPr>
            <w:r>
              <w:rPr>
                <w:b w:val="0"/>
                <w:sz w:val="18"/>
              </w:rPr>
              <w:t>C04  |  A05 restricted disclosure</w:t>
            </w:r>
          </w:p>
        </w:tc>
      </w:tr>
      <w:tr>
        <w:trPr>
          <w:cantSplit/>
        </w:trPr>
        <w:tc>
          <w:tcPr>
            <w:tcW w:type="dxa" w:w="113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5F7F9"/>
          </w:tcPr>
          <w:p>
            <w:pPr>
              <w:spacing w:after="60" w:line="252" w:lineRule="auto"/>
            </w:pPr>
            <w:r>
              <w:rPr>
                <w:b w:val="0"/>
                <w:sz w:val="18"/>
              </w:rPr>
              <w:t>A06</w:t>
            </w:r>
          </w:p>
        </w:tc>
        <w:tc>
          <w:tcPr>
            <w:tcW w:type="dxa" w:w="481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5F7F9"/>
          </w:tcPr>
          <w:p>
            <w:pPr>
              <w:spacing w:after="60" w:line="252" w:lineRule="auto"/>
            </w:pPr>
            <w:r>
              <w:rPr>
                <w:b w:val="0"/>
                <w:sz w:val="18"/>
              </w:rPr>
              <w:t>17 Sep sent grievance and attachment list</w:t>
            </w:r>
          </w:p>
        </w:tc>
        <w:tc>
          <w:tcPr>
            <w:tcW w:type="dxa" w:w="3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5F7F9"/>
          </w:tcPr>
          <w:p>
            <w:pPr>
              <w:spacing w:after="60" w:line="252" w:lineRule="auto"/>
            </w:pPr>
            <w:r>
              <w:rPr>
                <w:b w:val="0"/>
                <w:sz w:val="18"/>
              </w:rPr>
              <w:t>C05  |  Preserve submitted version</w:t>
            </w:r>
          </w:p>
        </w:tc>
      </w:tr>
      <w:tr>
        <w:trPr>
          <w:cantSplit/>
        </w:trPr>
        <w:tc>
          <w:tcPr>
            <w:tcW w:type="dxa" w:w="113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60" w:line="252" w:lineRule="auto"/>
            </w:pPr>
            <w:r>
              <w:rPr>
                <w:b w:val="0"/>
                <w:sz w:val="18"/>
              </w:rPr>
              <w:t>A07</w:t>
            </w:r>
          </w:p>
        </w:tc>
        <w:tc>
          <w:tcPr>
            <w:tcW w:type="dxa" w:w="481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60" w:line="252" w:lineRule="auto"/>
            </w:pPr>
            <w:r>
              <w:rPr>
                <w:b w:val="0"/>
                <w:sz w:val="18"/>
              </w:rPr>
              <w:t>21 Sep phone note created by W01</w:t>
            </w:r>
          </w:p>
        </w:tc>
        <w:tc>
          <w:tcPr>
            <w:tcW w:type="dxa" w:w="3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60" w:line="252" w:lineRule="auto"/>
            </w:pPr>
            <w:r>
              <w:rPr>
                <w:b w:val="0"/>
                <w:sz w:val="18"/>
              </w:rPr>
              <w:t>C06  |  Verbal account to confirm</w:t>
            </w:r>
          </w:p>
        </w:tc>
      </w:tr>
      <w:tr>
        <w:trPr>
          <w:cantSplit/>
        </w:trPr>
        <w:tc>
          <w:tcPr>
            <w:tcW w:type="dxa" w:w="113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5F7F9"/>
          </w:tcPr>
          <w:p>
            <w:pPr>
              <w:spacing w:after="60" w:line="252" w:lineRule="auto"/>
            </w:pPr>
            <w:r>
              <w:rPr>
                <w:b w:val="0"/>
                <w:sz w:val="18"/>
              </w:rPr>
              <w:t>A08–A09</w:t>
            </w:r>
          </w:p>
        </w:tc>
        <w:tc>
          <w:tcPr>
            <w:tcW w:type="dxa" w:w="481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5F7F9"/>
          </w:tcPr>
          <w:p>
            <w:pPr>
              <w:spacing w:after="60" w:line="252" w:lineRule="auto"/>
            </w:pPr>
            <w:r>
              <w:rPr>
                <w:b w:val="0"/>
                <w:sz w:val="18"/>
              </w:rPr>
              <w:t>Assessment invitation and W01 attendance note</w:t>
            </w:r>
          </w:p>
        </w:tc>
        <w:tc>
          <w:tcPr>
            <w:tcW w:type="dxa" w:w="3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5F7F9"/>
          </w:tcPr>
          <w:p>
            <w:pPr>
              <w:spacing w:after="60" w:line="252" w:lineRule="auto"/>
            </w:pPr>
            <w:r>
              <w:rPr>
                <w:b w:val="0"/>
                <w:sz w:val="18"/>
              </w:rPr>
              <w:t>C07  |  Retain R01 amendment history</w:t>
            </w:r>
          </w:p>
        </w:tc>
      </w:tr>
      <w:tr>
        <w:trPr>
          <w:cantSplit/>
        </w:trPr>
        <w:tc>
          <w:tcPr>
            <w:tcW w:type="dxa" w:w="113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60" w:line="252" w:lineRule="auto"/>
            </w:pPr>
            <w:r>
              <w:rPr>
                <w:b w:val="0"/>
                <w:sz w:val="18"/>
              </w:rPr>
              <w:t>A10</w:t>
            </w:r>
          </w:p>
        </w:tc>
        <w:tc>
          <w:tcPr>
            <w:tcW w:type="dxa" w:w="481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60" w:line="252" w:lineRule="auto"/>
            </w:pPr>
            <w:r>
              <w:rPr>
                <w:b w:val="0"/>
                <w:sz w:val="18"/>
              </w:rPr>
              <w:t>Assessment report received 12 Oct</w:t>
            </w:r>
          </w:p>
        </w:tc>
        <w:tc>
          <w:tcPr>
            <w:tcW w:type="dxa" w:w="3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60" w:line="252" w:lineRule="auto"/>
            </w:pPr>
            <w:r>
              <w:rPr>
                <w:b w:val="0"/>
                <w:sz w:val="18"/>
              </w:rPr>
              <w:t>C08  |  Preserve received and revised versions</w:t>
            </w:r>
          </w:p>
        </w:tc>
      </w:tr>
    </w:tbl>
    <w:p>
      <w:pPr>
        <w:spacing w:after="20"/>
      </w:pPr>
    </w:p>
    <w:p>
      <w:r>
        <w:rPr>
          <w:b w:val="0"/>
        </w:rPr>
        <w:t>Before an actual export, verify every linked file opens, list its source and receipt or creation date, and show selected redactions. Keep an unaltered original separately. An evidence reference identifies a source for assessment. Accuracy and legal significance require review.</w:t>
      </w:r>
    </w:p>
    <w:sectPr w:rsidR="00FC693F" w:rsidRPr="0006063C" w:rsidSect="00034616">
      <w:footerReference w:type="default" r:id="rId9"/>
      <w:pgSz w:w="11906" w:h="16838"/>
      <w:pgMar w:top="964" w:right="1020" w:bottom="964" w:left="102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2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psychological injury chronology</dc:title>
  <dc:subject>Australian psychological injury product discovery</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